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C5A47" w14:textId="77777777" w:rsidR="00377B46" w:rsidRPr="00377B46" w:rsidRDefault="00377B46" w:rsidP="00377B46">
      <w:pPr>
        <w:pStyle w:val="Heading1"/>
        <w:jc w:val="center"/>
      </w:pPr>
      <w:r w:rsidRPr="00377B46">
        <w:t>VORTEX Water Engineering</w:t>
      </w:r>
    </w:p>
    <w:p w14:paraId="427026A4" w14:textId="77777777" w:rsidR="00377B46" w:rsidRPr="00377B46" w:rsidRDefault="00377B46" w:rsidP="00377B46">
      <w:pPr>
        <w:jc w:val="both"/>
      </w:pPr>
      <w:r w:rsidRPr="00377B46">
        <w:t>VORTEX Water Engineering, legally registered as LLC “Georgian Water Systems”, has been operating in Georgia since 2019. The company focuses on technically complex projects and is strongly oriented toward quality.</w:t>
      </w:r>
    </w:p>
    <w:p w14:paraId="63873B0A" w14:textId="77777777" w:rsidR="00377B46" w:rsidRPr="00377B46" w:rsidRDefault="00377B46" w:rsidP="00377B46">
      <w:pPr>
        <w:jc w:val="both"/>
      </w:pPr>
      <w:r w:rsidRPr="00377B46">
        <w:t>Our team consists of specialists who have worked together for many years in various international and Georgian companies, both within Georgia and abroad.</w:t>
      </w:r>
    </w:p>
    <w:p w14:paraId="55F0EA30" w14:textId="77777777" w:rsidR="00377B46" w:rsidRPr="00377B46" w:rsidRDefault="00377B46" w:rsidP="00377B46">
      <w:pPr>
        <w:jc w:val="both"/>
      </w:pPr>
      <w:r w:rsidRPr="00377B46">
        <w:t>In 2019, the company’s founders decided to move beyond the standard modern Georgian working norms and create an organizational environment based on the highest professional ethics and the operational standards of successful companies in developed countries. As a result, they established the water systems engineering company VORTEX Water Engineering, with a strong focus on quality, a responsible approach toward clients’ and partners’ interests, and a commitment to contributing to the improvement of Georgia’s environmental conditions.</w:t>
      </w:r>
    </w:p>
    <w:p w14:paraId="1655216F" w14:textId="77777777" w:rsidR="00377B46" w:rsidRPr="00377B46" w:rsidRDefault="00377B46" w:rsidP="00377B46">
      <w:pPr>
        <w:jc w:val="both"/>
      </w:pPr>
      <w:r w:rsidRPr="00377B46">
        <w:t xml:space="preserve">Today, VORTEX Water Engineering is the exclusive representative in Georgia and the region of some of the world’s most advanced multinational corporations in water technologies, including KROHNE, HACH, Nijhuis Saur Industries, AO Smith, ATB Water, In-Situ, Pentair, Veolia, ESTRUAGUA, Samson Group, ITM Filters, OTT </w:t>
      </w:r>
      <w:proofErr w:type="spellStart"/>
      <w:r w:rsidRPr="00377B46">
        <w:t>HydroMet</w:t>
      </w:r>
      <w:proofErr w:type="spellEnd"/>
      <w:r w:rsidRPr="00377B46">
        <w:t>, and others.</w:t>
      </w:r>
      <w:r w:rsidRPr="00377B46">
        <w:br/>
        <w:t>The company’s portfolio of clients for products and services includes up to one hundred Georgian, Azerbaijani, and Armenian companies.</w:t>
      </w:r>
    </w:p>
    <w:p w14:paraId="5AF06BAD" w14:textId="77777777" w:rsidR="00377B46" w:rsidRPr="00377B46" w:rsidRDefault="00377B46" w:rsidP="00377B46">
      <w:pPr>
        <w:jc w:val="both"/>
      </w:pPr>
      <w:r w:rsidRPr="00377B46">
        <w:t>The activities of VORTEX Water Engineering begin with the design of water treatment and analytical systems and cover all phases of implementation, including scheduled maintenance. The entire process is managed with the direct involvement of equipment manufacturers and in full compliance with their guidelines.</w:t>
      </w:r>
    </w:p>
    <w:p w14:paraId="545FA935" w14:textId="77777777" w:rsidR="00377B46" w:rsidRPr="00377B46" w:rsidRDefault="00377B46" w:rsidP="00377B46">
      <w:pPr>
        <w:pStyle w:val="Heading2"/>
      </w:pPr>
      <w:r w:rsidRPr="00377B46">
        <w:t>Core Objectives</w:t>
      </w:r>
    </w:p>
    <w:p w14:paraId="6E469C58" w14:textId="77777777" w:rsidR="00377B46" w:rsidRDefault="00377B46" w:rsidP="00377B46">
      <w:pPr>
        <w:pStyle w:val="ListParagraph"/>
        <w:numPr>
          <w:ilvl w:val="0"/>
          <w:numId w:val="3"/>
        </w:numPr>
      </w:pPr>
      <w:r w:rsidRPr="00377B46">
        <w:t>Fast and well-reasoned decision-making throughout project execution</w:t>
      </w:r>
    </w:p>
    <w:p w14:paraId="1AD8FB2F" w14:textId="77777777" w:rsidR="00377B46" w:rsidRDefault="00377B46" w:rsidP="00377B46">
      <w:pPr>
        <w:pStyle w:val="ListParagraph"/>
        <w:numPr>
          <w:ilvl w:val="0"/>
          <w:numId w:val="3"/>
        </w:numPr>
      </w:pPr>
      <w:r w:rsidRPr="00377B46">
        <w:t>High quality of delivered work</w:t>
      </w:r>
    </w:p>
    <w:p w14:paraId="208FB192" w14:textId="7E36E415" w:rsidR="00377B46" w:rsidRPr="00377B46" w:rsidRDefault="00377B46" w:rsidP="00377B46">
      <w:pPr>
        <w:pStyle w:val="ListParagraph"/>
        <w:numPr>
          <w:ilvl w:val="0"/>
          <w:numId w:val="3"/>
        </w:numPr>
      </w:pPr>
      <w:r w:rsidRPr="00377B46">
        <w:t>Completion of projects within the agreed budget</w:t>
      </w:r>
    </w:p>
    <w:p w14:paraId="439BEDCE" w14:textId="77777777" w:rsidR="00377B46" w:rsidRPr="00377B46" w:rsidRDefault="00377B46" w:rsidP="00377B46">
      <w:pPr>
        <w:pStyle w:val="Heading2"/>
      </w:pPr>
      <w:r w:rsidRPr="00377B46">
        <w:t>Areas of Expertise</w:t>
      </w:r>
    </w:p>
    <w:p w14:paraId="029055F1" w14:textId="77777777" w:rsidR="00377B46" w:rsidRDefault="00377B46" w:rsidP="00377B46">
      <w:pPr>
        <w:pStyle w:val="ListParagraph"/>
        <w:numPr>
          <w:ilvl w:val="0"/>
          <w:numId w:val="4"/>
        </w:numPr>
      </w:pPr>
      <w:r w:rsidRPr="00377B46">
        <w:t>Design, installation, and commissioning of drinking, technical, industrial, municipal, and wastewater treatment systems</w:t>
      </w:r>
    </w:p>
    <w:p w14:paraId="69B6AFA6" w14:textId="77777777" w:rsidR="00377B46" w:rsidRDefault="00377B46" w:rsidP="00377B46">
      <w:pPr>
        <w:pStyle w:val="ListParagraph"/>
        <w:numPr>
          <w:ilvl w:val="0"/>
          <w:numId w:val="4"/>
        </w:numPr>
      </w:pPr>
      <w:r w:rsidRPr="00377B46">
        <w:t xml:space="preserve">Online and laboratory water analytics using the full HACH portfolio, including </w:t>
      </w:r>
      <w:proofErr w:type="spellStart"/>
      <w:r w:rsidRPr="00377B46">
        <w:t>physico</w:t>
      </w:r>
      <w:proofErr w:type="spellEnd"/>
      <w:r w:rsidRPr="00377B46">
        <w:t>-chemical, microbiological, and sludge analysis, as well as nutrient monitoring</w:t>
      </w:r>
    </w:p>
    <w:p w14:paraId="574A7C2B" w14:textId="77777777" w:rsidR="00377B46" w:rsidRDefault="00377B46" w:rsidP="00377B46">
      <w:pPr>
        <w:pStyle w:val="ListParagraph"/>
        <w:numPr>
          <w:ilvl w:val="0"/>
          <w:numId w:val="4"/>
        </w:numPr>
      </w:pPr>
      <w:r w:rsidRPr="00377B46">
        <w:lastRenderedPageBreak/>
        <w:t>Flow measurement using electromagnetic, radar, ultrasonic, and insertion meters with KROHNE instruments</w:t>
      </w:r>
    </w:p>
    <w:p w14:paraId="5A6C9D31" w14:textId="77777777" w:rsidR="00377B46" w:rsidRDefault="00377B46" w:rsidP="00377B46">
      <w:pPr>
        <w:pStyle w:val="ListParagraph"/>
        <w:numPr>
          <w:ilvl w:val="0"/>
          <w:numId w:val="4"/>
        </w:numPr>
      </w:pPr>
      <w:r w:rsidRPr="00377B46">
        <w:t>Process design, including water treatment plants with capacities of up to 300 L/s and compact wastewater treatment solutions (UF/RO, lamella clarifiers, SBR)</w:t>
      </w:r>
    </w:p>
    <w:p w14:paraId="1B8388DE" w14:textId="6BF96A36" w:rsidR="00377B46" w:rsidRPr="00377B46" w:rsidRDefault="00377B46" w:rsidP="00377B46">
      <w:pPr>
        <w:pStyle w:val="ListParagraph"/>
        <w:numPr>
          <w:ilvl w:val="0"/>
          <w:numId w:val="4"/>
        </w:numPr>
      </w:pPr>
      <w:r w:rsidRPr="00377B46">
        <w:t>Turnkey EPC solutions and long-term service, including engineering, procurement, commissioning, performance-oriented operation, and maintenance</w:t>
      </w:r>
    </w:p>
    <w:p w14:paraId="7C5C309F" w14:textId="42B7F9D6" w:rsidR="00377B46" w:rsidRDefault="00377B46" w:rsidP="00377B46">
      <w:r w:rsidRPr="00377B46">
        <w:t>VORTEX Water Engineering has regional coverage, with active projects across Georgia supported by after-sales services, as well as the supply of products and services in Armenia and Azerbaijan.</w:t>
      </w:r>
    </w:p>
    <w:p w14:paraId="22673CC0" w14:textId="77777777" w:rsidR="00377B46" w:rsidRPr="00377B46" w:rsidRDefault="00377B46" w:rsidP="00377B46"/>
    <w:p w14:paraId="77C22F48" w14:textId="77777777" w:rsidR="00377B46" w:rsidRPr="00377B46" w:rsidRDefault="00377B46" w:rsidP="00377B46">
      <w:pPr>
        <w:pStyle w:val="Heading2"/>
      </w:pPr>
      <w:r w:rsidRPr="00377B46">
        <w:t>Contact Information</w:t>
      </w:r>
    </w:p>
    <w:p w14:paraId="6F9CD02B" w14:textId="77777777" w:rsidR="00377B46" w:rsidRPr="00377B46" w:rsidRDefault="00377B46" w:rsidP="00377B46">
      <w:r w:rsidRPr="00377B46">
        <w:t>Phone: +995 0322 800 809</w:t>
      </w:r>
      <w:r w:rsidRPr="00377B46">
        <w:br/>
        <w:t>Email: info@vortex.ge</w:t>
      </w:r>
      <w:r w:rsidRPr="00377B46">
        <w:br/>
        <w:t xml:space="preserve">Address: 46 Mikheil </w:t>
      </w:r>
      <w:proofErr w:type="spellStart"/>
      <w:r w:rsidRPr="00377B46">
        <w:t>Burdzgla</w:t>
      </w:r>
      <w:proofErr w:type="spellEnd"/>
      <w:r w:rsidRPr="00377B46">
        <w:t xml:space="preserve"> Street, Tbilisi, Georgia</w:t>
      </w:r>
      <w:r w:rsidRPr="00377B46">
        <w:br/>
        <w:t xml:space="preserve">Website: </w:t>
      </w:r>
      <w:hyperlink r:id="rId5" w:tgtFrame="_new" w:history="1">
        <w:r w:rsidRPr="00377B46">
          <w:rPr>
            <w:rStyle w:val="Hyperlink"/>
          </w:rPr>
          <w:t>www.vortex.ge</w:t>
        </w:r>
      </w:hyperlink>
    </w:p>
    <w:p w14:paraId="3CCC6083" w14:textId="77777777" w:rsidR="00B70578" w:rsidRPr="00377B46" w:rsidRDefault="00B70578"/>
    <w:sectPr w:rsidR="00B70578" w:rsidRPr="00377B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902BE"/>
    <w:multiLevelType w:val="hybridMultilevel"/>
    <w:tmpl w:val="B2DAC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5D670E"/>
    <w:multiLevelType w:val="multilevel"/>
    <w:tmpl w:val="8A044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B64EBF"/>
    <w:multiLevelType w:val="hybridMultilevel"/>
    <w:tmpl w:val="8E5E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D3751C"/>
    <w:multiLevelType w:val="multilevel"/>
    <w:tmpl w:val="0FEA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1689202">
    <w:abstractNumId w:val="3"/>
  </w:num>
  <w:num w:numId="2" w16cid:durableId="1594390854">
    <w:abstractNumId w:val="1"/>
  </w:num>
  <w:num w:numId="3" w16cid:durableId="1494373012">
    <w:abstractNumId w:val="2"/>
  </w:num>
  <w:num w:numId="4" w16cid:durableId="1758600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B46"/>
    <w:rsid w:val="002D553C"/>
    <w:rsid w:val="00377B46"/>
    <w:rsid w:val="00B70578"/>
    <w:rsid w:val="00BA6AD2"/>
    <w:rsid w:val="00DC46B6"/>
    <w:rsid w:val="00ED7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7D9E"/>
  <w15:chartTrackingRefBased/>
  <w15:docId w15:val="{DD69C238-6065-46FE-98C3-FDCDABE44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7B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77B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77B4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77B4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77B4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77B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7B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7B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7B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7B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77B4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7B4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7B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7B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7B46"/>
    <w:rPr>
      <w:rFonts w:eastAsiaTheme="majorEastAsia" w:cstheme="majorBidi"/>
      <w:color w:val="272727" w:themeColor="text1" w:themeTint="D8"/>
    </w:rPr>
  </w:style>
  <w:style w:type="paragraph" w:styleId="Title">
    <w:name w:val="Title"/>
    <w:basedOn w:val="Normal"/>
    <w:next w:val="Normal"/>
    <w:link w:val="TitleChar"/>
    <w:uiPriority w:val="10"/>
    <w:qFormat/>
    <w:rsid w:val="00377B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7B46"/>
    <w:pPr>
      <w:spacing w:before="160"/>
      <w:jc w:val="center"/>
    </w:pPr>
    <w:rPr>
      <w:i/>
      <w:iCs/>
      <w:color w:val="404040" w:themeColor="text1" w:themeTint="BF"/>
    </w:rPr>
  </w:style>
  <w:style w:type="character" w:customStyle="1" w:styleId="QuoteChar">
    <w:name w:val="Quote Char"/>
    <w:basedOn w:val="DefaultParagraphFont"/>
    <w:link w:val="Quote"/>
    <w:uiPriority w:val="29"/>
    <w:rsid w:val="00377B46"/>
    <w:rPr>
      <w:i/>
      <w:iCs/>
      <w:color w:val="404040" w:themeColor="text1" w:themeTint="BF"/>
    </w:rPr>
  </w:style>
  <w:style w:type="paragraph" w:styleId="ListParagraph">
    <w:name w:val="List Paragraph"/>
    <w:basedOn w:val="Normal"/>
    <w:uiPriority w:val="34"/>
    <w:qFormat/>
    <w:rsid w:val="00377B46"/>
    <w:pPr>
      <w:ind w:left="720"/>
      <w:contextualSpacing/>
    </w:pPr>
  </w:style>
  <w:style w:type="character" w:styleId="IntenseEmphasis">
    <w:name w:val="Intense Emphasis"/>
    <w:basedOn w:val="DefaultParagraphFont"/>
    <w:uiPriority w:val="21"/>
    <w:qFormat/>
    <w:rsid w:val="00377B46"/>
    <w:rPr>
      <w:i/>
      <w:iCs/>
      <w:color w:val="2F5496" w:themeColor="accent1" w:themeShade="BF"/>
    </w:rPr>
  </w:style>
  <w:style w:type="paragraph" w:styleId="IntenseQuote">
    <w:name w:val="Intense Quote"/>
    <w:basedOn w:val="Normal"/>
    <w:next w:val="Normal"/>
    <w:link w:val="IntenseQuoteChar"/>
    <w:uiPriority w:val="30"/>
    <w:qFormat/>
    <w:rsid w:val="00377B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7B46"/>
    <w:rPr>
      <w:i/>
      <w:iCs/>
      <w:color w:val="2F5496" w:themeColor="accent1" w:themeShade="BF"/>
    </w:rPr>
  </w:style>
  <w:style w:type="character" w:styleId="IntenseReference">
    <w:name w:val="Intense Reference"/>
    <w:basedOn w:val="DefaultParagraphFont"/>
    <w:uiPriority w:val="32"/>
    <w:qFormat/>
    <w:rsid w:val="00377B46"/>
    <w:rPr>
      <w:b/>
      <w:bCs/>
      <w:smallCaps/>
      <w:color w:val="2F5496" w:themeColor="accent1" w:themeShade="BF"/>
      <w:spacing w:val="5"/>
    </w:rPr>
  </w:style>
  <w:style w:type="character" w:styleId="Hyperlink">
    <w:name w:val="Hyperlink"/>
    <w:basedOn w:val="DefaultParagraphFont"/>
    <w:uiPriority w:val="99"/>
    <w:unhideWhenUsed/>
    <w:rsid w:val="00377B46"/>
    <w:rPr>
      <w:color w:val="0563C1" w:themeColor="hyperlink"/>
      <w:u w:val="single"/>
    </w:rPr>
  </w:style>
  <w:style w:type="character" w:styleId="UnresolvedMention">
    <w:name w:val="Unresolved Mention"/>
    <w:basedOn w:val="DefaultParagraphFont"/>
    <w:uiPriority w:val="99"/>
    <w:semiHidden/>
    <w:unhideWhenUsed/>
    <w:rsid w:val="00377B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ortex.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Anano Mchedlishvili</dc:creator>
  <cp:keywords/>
  <dc:description/>
  <cp:lastModifiedBy>Anano Mchedlishvili</cp:lastModifiedBy>
  <cp:revision>1</cp:revision>
  <dcterms:created xsi:type="dcterms:W3CDTF">2025-12-15T14:16:00Z</dcterms:created>
  <dcterms:modified xsi:type="dcterms:W3CDTF">2025-12-15T14:24:00Z</dcterms:modified>
</cp:coreProperties>
</file>